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32" w:rsidRPr="00074732" w:rsidRDefault="00074732" w:rsidP="00074732">
      <w:pPr>
        <w:pStyle w:val="002TytulIrzedu"/>
        <w:spacing w:after="283"/>
        <w:rPr>
          <w:rFonts w:asciiTheme="minorHAnsi" w:hAnsiTheme="minorHAnsi" w:cs="Dutch801HdEU-Normal"/>
          <w:color w:val="auto"/>
          <w:position w:val="0"/>
          <w:sz w:val="22"/>
          <w:szCs w:val="22"/>
        </w:rPr>
      </w:pPr>
      <w:r w:rsidRPr="00074732">
        <w:rPr>
          <w:rFonts w:asciiTheme="minorHAnsi" w:hAnsiTheme="minorHAnsi"/>
          <w:color w:val="auto"/>
          <w:sz w:val="22"/>
          <w:szCs w:val="22"/>
        </w:rPr>
        <w:t>Wymagania na poszczególne oceny szkolne</w:t>
      </w:r>
    </w:p>
    <w:p w:rsidR="00074732" w:rsidRPr="00074732" w:rsidRDefault="00074732" w:rsidP="00074732">
      <w:pPr>
        <w:pStyle w:val="001Tekstpodstawowy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Ocena postępów ucznia jest wynikiem oceny stopnia opanowania jego umiejętności podstawowych i ponadpodstawowych. W programie nauczania Matematyka z pomysłem umiejętności te zostały odniesione do sformułowanych w podstawie programowej wymagań szczegółowych. </w:t>
      </w:r>
    </w:p>
    <w:p w:rsidR="00074732" w:rsidRPr="00074732" w:rsidRDefault="00074732" w:rsidP="00074732">
      <w:pPr>
        <w:pStyle w:val="001Tekstpodstawowy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W zamieszczonej tabeli umiejętności te przypisane poszczególnym rozdziałom zostały odniesione do poszczególnych ocen szkolnych zgodnie z przyjętymi w programie nauczania Matematyka z pomysłem założeniami, aby ocenę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dopuszczającą otrzymywał uczeń, który nabył większość umiejętności sprzyjających osiągnięciu wymagań 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dostateczną otrzymywał uczeń, który nabył wszystkie umiejętności sprzyjające osiągnięciu wymagań 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dobrą otrzymywał uczeń, który nabył wszystkie umiejętności sprzyjające osiągnięciu wymagań podstawowych, niektóre umiejętności sprzyjające osiągnięciu wymagań ponadpodstawowych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 xml:space="preserve">bardzo dobrą otrzymywał uczeń, który nabył wszystkie umiejętności sprzyjające osiągnięciu wymagań podstawowych i potrafi je wykorzystywać w sytuacjach nietypowych oraz nabył niektóre umiejętności sprzyjające osiągnięciu wymagań ponadpodstawowych i potrafi je wykorzystać w sytuacjach typowych,  </w:t>
      </w:r>
    </w:p>
    <w:p w:rsidR="00074732" w:rsidRPr="00074732" w:rsidRDefault="00074732" w:rsidP="00074732">
      <w:pPr>
        <w:pStyle w:val="001Tekstpunktykropki"/>
        <w:rPr>
          <w:rFonts w:asciiTheme="minorHAnsi" w:hAnsiTheme="minorHAnsi"/>
        </w:rPr>
      </w:pPr>
      <w:r w:rsidRPr="00074732">
        <w:rPr>
          <w:rFonts w:asciiTheme="minorHAnsi" w:hAnsiTheme="minorHAnsi"/>
        </w:rPr>
        <w:t>celującą otrzymywał uczeń, który nabył wszystkie umiejętności sprzyjające osiągnięciu wymagań podstawowych i ponadpodstawowych i potrafi je wykorzystywać w sytuacjach nietypowych.</w:t>
      </w:r>
    </w:p>
    <w:p w:rsidR="00074732" w:rsidRDefault="00074732">
      <w:pPr>
        <w:spacing w:after="200" w:line="276" w:lineRule="auto"/>
        <w:rPr>
          <w:rFonts w:asciiTheme="minorHAnsi" w:hAnsiTheme="minorHAnsi" w:cs="AgendaPl-Bold"/>
          <w:b/>
          <w:bCs/>
          <w:color w:val="065199"/>
          <w:sz w:val="32"/>
          <w:szCs w:val="32"/>
          <w:lang w:val="pl-PL"/>
        </w:rPr>
      </w:pPr>
      <w:r>
        <w:rPr>
          <w:rFonts w:asciiTheme="minorHAnsi" w:hAnsiTheme="minorHAnsi"/>
        </w:rPr>
        <w:br w:type="page"/>
      </w:r>
    </w:p>
    <w:p w:rsidR="00074732" w:rsidRPr="00074732" w:rsidRDefault="00074732" w:rsidP="00074732">
      <w:pPr>
        <w:pStyle w:val="003TytulIIrzedu"/>
        <w:spacing w:after="170"/>
        <w:rPr>
          <w:rFonts w:asciiTheme="minorHAnsi" w:hAnsiTheme="minorHAnsi"/>
          <w:position w:val="0"/>
        </w:rPr>
      </w:pPr>
      <w:r w:rsidRPr="00074732">
        <w:rPr>
          <w:rFonts w:asciiTheme="minorHAnsi" w:hAnsiTheme="minorHAnsi"/>
          <w:position w:val="0"/>
        </w:rPr>
        <w:lastRenderedPageBreak/>
        <w:t>Klasa V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9"/>
        <w:gridCol w:w="71"/>
        <w:gridCol w:w="2259"/>
        <w:gridCol w:w="71"/>
        <w:gridCol w:w="2265"/>
        <w:gridCol w:w="71"/>
        <w:gridCol w:w="2275"/>
        <w:gridCol w:w="71"/>
        <w:gridCol w:w="2289"/>
        <w:gridCol w:w="1939"/>
      </w:tblGrid>
      <w:tr w:rsidR="00074732" w:rsidRPr="00074732" w:rsidTr="00074732">
        <w:trPr>
          <w:trHeight w:val="417"/>
          <w:tblHeader/>
          <w:jc w:val="center"/>
        </w:trPr>
        <w:tc>
          <w:tcPr>
            <w:tcW w:w="22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Rozdział</w:t>
            </w:r>
          </w:p>
        </w:tc>
        <w:tc>
          <w:tcPr>
            <w:tcW w:w="466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Wymagania podstawowe</w:t>
            </w:r>
          </w:p>
        </w:tc>
        <w:tc>
          <w:tcPr>
            <w:tcW w:w="664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Wymagania ponadpodstawowe</w:t>
            </w:r>
          </w:p>
        </w:tc>
      </w:tr>
      <w:tr w:rsidR="00074732" w:rsidRPr="00074732" w:rsidTr="00074732">
        <w:trPr>
          <w:trHeight w:val="60"/>
          <w:tblHeader/>
          <w:jc w:val="center"/>
        </w:trPr>
        <w:tc>
          <w:tcPr>
            <w:tcW w:w="223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konieczne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dopuszczająca)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podstawowe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dostateczna)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rozszerzające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dobra)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dopełniające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bardzo dobra)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DB9319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 xml:space="preserve">wykraczające </w:t>
            </w:r>
            <w:r w:rsidRPr="00074732">
              <w:rPr>
                <w:rFonts w:asciiTheme="minorHAnsi" w:hAnsiTheme="minorHAnsi"/>
                <w:sz w:val="20"/>
                <w:szCs w:val="20"/>
              </w:rPr>
              <w:br/>
              <w:t>(ocena celująca)</w:t>
            </w:r>
          </w:p>
          <w:p w:rsidR="00074732" w:rsidRPr="00074732" w:rsidRDefault="00074732" w:rsidP="003A682B">
            <w:pPr>
              <w:pStyle w:val="tabelaglowka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1. Liczby naturalne i dziesiętne. Działania na liczbach naturalnych i dziesiętnych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Zastosowania matematyki w sytuacjach praktycznych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liczbę jednocyfrową dodaje do dowolnej liczby naturalnej i odejmuje od dowolnej liczby naturalnej (2.1);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i odejmuje w pamięci liczby naturalne dwucyfrowe, liczby wielocyfrowe w przypadkach, takich jak np. 230 + 80 lub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4600 – 1200 (2.1);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szacuje wyniki działań (2.12);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i odejmuje w pamięci liczby naturalne dwucyfrowe w sytuacjach problemowych (2.1);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Dodawanie i odejmowanie pisemne – powtórzenie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liczby naturalne wielocyfrowe pisemnie bez przekroczenia progu (2.2);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liczby naturalne wielocyfrowe pisemnie bez przekroczenia progu (2.2);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dodaje liczby naturalne wielocyfrowe pisemnie (2.2);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odejmuje liczby naturalne wielocyfrowe pisemnie (2.2);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  <w:bookmarkStart w:id="0" w:name="_GoBack"/>
            <w:bookmarkEnd w:id="0"/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Mnożenie i dzielenie pisemne – powtórzenie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jednocyfrową pisemnie (2.3);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jednocyfrową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Mnożenie pisemne liczb wielocyfrowych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dwucyfrową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liczbę naturalną przez liczbę naturalną trzycyfrową pisemnie (2.3);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liczby wielocyfrowe pisemnie (R);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1133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Dzielenie pisemne liczb przez liczby wielocyfrowe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dwucyfrową pisemnie (2.3);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dzieli liczbę naturalną przez liczbę naturalną trzycyfrową pisemnie (2.3);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1757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Wyrażenia arytmetyczne i zadania tekstowe I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reguły dotyczące kolejności wykonywania działań (2.11);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czyta ze zrozumieniem prosty tekst zawierający informacje liczbowe (14.1);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wstępne czynności ułatwiające rozwiązanie zadania, w tym rysunek pomocniczy lub wygodne dla niego zapisanie informacji i danych z treści zadania(14.2);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dostrzega zależności między podanymi informacjami (14.3);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rozwiązanie zadania na etapy, stosując własne, poprawne, wygodne dla niego strategie rozwiązania (14.4);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do rozwiązywania zadań osadzonych w kontekście praktycznym stosuje poznaną wiedzę z zakresu arytmetyki i geometrii oraz nabyte umiejętności rachunkowe, a także </w:t>
            </w:r>
            <w:r w:rsidRPr="00074732">
              <w:rPr>
                <w:rFonts w:asciiTheme="minorHAnsi" w:hAnsiTheme="minorHAnsi"/>
              </w:rPr>
              <w:lastRenderedPageBreak/>
              <w:t>własne poprawne metody (14.5);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stosuje reguły dotyczące kolejności wykonywania działań w wyrażeniach o skomplikowanej budowie (2.11);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weryﬁkuje wynik zadania tekstowego, oceniając sensowność rozwiązania (14.6);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Zamiana jednostek. Liczby dziesiętne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zapisuje wyrażenia dwumianowane w postaci ułamka dziesiętnego i odwrotnie (4.6);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zamienia i prawidłowo stosuje jednostki długości: metr, centymetr, decymetr, milimetr, kilometr (12.6);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i prawidłowo stosuje jednostki masy: gram, kilogram, dekagram, tona (12.7);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Dodawanie pisemne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dziesiętne w pamięci (w najprostszych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dziesiętne pisemnie (5.2);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Odejmowanie pisemne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odejmuje ułamki dziesiętne w pamięci </w:t>
            </w:r>
            <w:r w:rsidRPr="00074732">
              <w:rPr>
                <w:rFonts w:asciiTheme="minorHAnsi" w:hAnsiTheme="minorHAnsi"/>
              </w:rPr>
              <w:lastRenderedPageBreak/>
              <w:t>(w najprostszych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odejmuje ułamki dziesiętne pisemnie </w:t>
            </w:r>
            <w:r w:rsidRPr="00074732">
              <w:rPr>
                <w:rFonts w:asciiTheme="minorHAnsi" w:hAnsiTheme="minorHAnsi"/>
              </w:rPr>
              <w:lastRenderedPageBreak/>
              <w:t>(5.2);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Powtórzenie 1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2. Ułamki zwykłe. Działania na ułamkach zwykłych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Cechy podzielności przez 2, 5, 10, 100, 1000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2 (2.7);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5, 10, 100 (2.7);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cechy podzielności przez 2, 5, 10, 100 (2.7);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proste rozumowania nt. podzielności liczb (2.7);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rozumowania nt. podzielności liczb (2.7);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Cechy podzielności przez 3 i 9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liczby naturalne podzielne przez 3 (2.7);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liczby naturalne podzielne przez 9 (2.7);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cechy podzielności przez 3, 9 (2.7);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proste rozumowania nt. podzielności liczb (2.7);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prowadzi rozumowania nt. podzielności liczb (2.7);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Liczby pierwsze i złożone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liczbę złożoną, gdy jest ona jednocyfrowa lub dwucyfrowa (2.8);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rozpoznaje liczbę złożoną, gdy na istnienie dzielnika wskazuje poznana cecha podzielności (2.8);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rozpoznaje liczbę pierwszą dwucyfrową (2.9);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rozkłada liczby dwucyfrowe na czynniki </w:t>
            </w:r>
            <w:r w:rsidRPr="00074732">
              <w:rPr>
                <w:rFonts w:asciiTheme="minorHAnsi" w:hAnsiTheme="minorHAnsi"/>
              </w:rPr>
              <w:lastRenderedPageBreak/>
              <w:t>pierwsze (2.9);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rozkłada liczby na czynniki pierwsze (R);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rozkład liczby na czynniki pierwsze w sytuacjach typowych (R);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rozkład liczby na czynniki pierwsze w sytuacjach </w:t>
            </w:r>
            <w:r w:rsidRPr="00074732">
              <w:rPr>
                <w:rFonts w:asciiTheme="minorHAnsi" w:hAnsiTheme="minorHAnsi"/>
              </w:rPr>
              <w:lastRenderedPageBreak/>
              <w:t>nietypowych (R);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Sprowadzanie ułamków zwykłych do wspólnego mianownika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skraca i rozszerza ułamki zwykłe (4.3);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sprowadza ułamki zwykłe do wspólnego mianownika (4.4); 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Porównywanie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odczytuje ułamki zwykłe zaznaczone na osi liczbowej (4.7);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porównuje ułamki zwykłe (4.12);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zaznacza ułamki zwykłe na osi liczbowej (4.7);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zwykłe o mianownikach jednocyfrowych (5.1);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dodaje ułamki zwykłe o mianownikach dwucyfrowych, a także liczby mieszane (5.1);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Odejmowanie ułamków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zwykłe o mianownikach jednocyfrowych (5.1);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odejmuje ułamki zwykłe o mianownikach dwucyfrowych, a także liczby mieszane (5.1);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170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Działania na ułamkach zwykłych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ułamki zwykłe o mianownikach jednocyfrowych (5.1);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ułamki zwykłe o mianownikach dwucyfrowych, a także liczby mieszane (5.1);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ułamek danej liczby naturalnej (5.5);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wartości prostych wyrażeń arytmetycznych, stosując reguły dotyczące kolejności wykonywania działań (5.7);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ułamek danego ułamka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ułamek liczby mieszanej (R);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3</w:t>
            </w:r>
          </w:p>
        </w:tc>
      </w:tr>
      <w:tr w:rsidR="00074732" w:rsidRPr="00074732" w:rsidTr="00074732">
        <w:trPr>
          <w:trHeight w:hRule="exact" w:val="680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3. Wielokąty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Klasyfikacja trójkątów.</w:t>
            </w:r>
          </w:p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Własności trójkątów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rozpoznaje i nazywa </w:t>
            </w:r>
            <w:r w:rsidRPr="00074732">
              <w:rPr>
                <w:rFonts w:asciiTheme="minorHAnsi" w:hAnsiTheme="minorHAnsi"/>
              </w:rPr>
              <w:lastRenderedPageBreak/>
              <w:t xml:space="preserve">trójkąty ostrokątne, prostokątne i rozwartokątne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trójkąty równoboczne i równoramienne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konstruuje trójkąt o trzech </w:t>
            </w:r>
            <w:r w:rsidRPr="00074732">
              <w:rPr>
                <w:rFonts w:asciiTheme="minorHAnsi" w:hAnsiTheme="minorHAnsi"/>
              </w:rPr>
              <w:lastRenderedPageBreak/>
              <w:t xml:space="preserve">danych bokach (9.2);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ustala możliwość zbudowania trójkąta (na podstawie nierówności trójkąta) (9.2);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twierdzenie o sumie kątów trójkąta (9.3);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miary kątów, stosując przy tym poznane własności kątów i wielokątów (11.6);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stosuje nierówność </w:t>
            </w:r>
            <w:r w:rsidRPr="00074732">
              <w:rPr>
                <w:rFonts w:asciiTheme="minorHAnsi" w:hAnsiTheme="minorHAnsi"/>
              </w:rPr>
              <w:lastRenderedPageBreak/>
              <w:t>trójkąta do rozwiązywania zadań w sytuacjach typowych (9.2);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stosuje nierówność </w:t>
            </w:r>
            <w:r w:rsidRPr="00074732">
              <w:rPr>
                <w:rFonts w:asciiTheme="minorHAnsi" w:hAnsiTheme="minorHAnsi"/>
              </w:rPr>
              <w:lastRenderedPageBreak/>
              <w:t>trójkąta do rozwiązywania zadań w sytuacjach nietypowych (9.2);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stosuje nierówność </w:t>
            </w:r>
            <w:r w:rsidRPr="00074732">
              <w:rPr>
                <w:rFonts w:asciiTheme="minorHAnsi" w:hAnsiTheme="minorHAnsi"/>
              </w:rPr>
              <w:lastRenderedPageBreak/>
              <w:t>trójkąta do rozwiązywania zadań problemowych (9.2);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Pole trójkąta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trójkąty ostrokątne, prostokątne i rozwartokątne (9.1);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i nazywa trójkąty równoboczne i równoramienne (9.1);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 (bez zamiany jednostek w trakcie obliczeń) (11.3);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zamienia jednostki </w:t>
            </w:r>
            <w:r w:rsidRPr="00074732">
              <w:rPr>
                <w:rFonts w:asciiTheme="minorHAnsi" w:hAnsiTheme="minorHAnsi"/>
              </w:rPr>
              <w:lastRenderedPageBreak/>
              <w:t>długości: metr, centymetr, decymetr, milimetr, kilometr (12.6);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oblicza pole trójkąta przedstawionego na rysunku (w tym na własnym rysunku pomocniczym) oraz w sytuacjach praktycznych(11.2);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trójkąta do obliczenia długości jednego boku lub wysokości trójkąta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dm², ar, hektar (11.3);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Klasyfikacja czworokątów. Własności czworokątów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i nazywa kwadrat, prostokąt (9.4);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romb, równoległobok (9.4);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rozpoznaje i nazywa trapez (9.4);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zna najważniejsze własności kwadratu, prostokąta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zna najważniejsze własności rombu, równoległoboku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zna najważniejsze własności trapezu (9.5);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najważniejsze własności kwadratu, prostokąta, rombu, równoległoboku, trapezu (9.5);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miary kątów, stosując przy tym poznane własności kątów i wielokątów (11.6);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Pole równoległoboku i rombu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oblicza pola: rombu i równoległoboku, </w:t>
            </w:r>
            <w:r w:rsidRPr="00074732">
              <w:rPr>
                <w:rFonts w:asciiTheme="minorHAnsi" w:hAnsiTheme="minorHAnsi"/>
              </w:rPr>
              <w:lastRenderedPageBreak/>
              <w:t>przedstawionych na rysunku (w tym na własnym rysunku pomocniczym) (11.2);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oblicza pola: rombu i równoległoboku, </w:t>
            </w:r>
            <w:r w:rsidRPr="00074732">
              <w:rPr>
                <w:rFonts w:asciiTheme="minorHAnsi" w:hAnsiTheme="minorHAnsi"/>
              </w:rPr>
              <w:lastRenderedPageBreak/>
              <w:t>w sytuacjach praktycznych (11.2);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stosuje wzór na pole równoległoboku do </w:t>
            </w:r>
            <w:r w:rsidRPr="00074732">
              <w:rPr>
                <w:rFonts w:asciiTheme="minorHAnsi" w:hAnsiTheme="minorHAnsi"/>
              </w:rPr>
              <w:lastRenderedPageBreak/>
              <w:t xml:space="preserve">obliczenia długości jednego boku lub wysokości w sytuacjach typowych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rombu do obliczenia długości jednej przekątnej w sytuacjach typowych (11.2);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stosuje wzór na pole równoległoboku do </w:t>
            </w:r>
            <w:r w:rsidRPr="00074732">
              <w:rPr>
                <w:rFonts w:asciiTheme="minorHAnsi" w:hAnsiTheme="minorHAnsi"/>
              </w:rPr>
              <w:lastRenderedPageBreak/>
              <w:t xml:space="preserve">obliczenia długości jednego boku lub wysokości w sytuacjach nietypowych (11.2);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wzór na pole rombu do obliczenia długości jednej przekątnej w sytuacjach nietypowych (11.2);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Pole trapezu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pole trapezu przedstawionego na rysunku (w tym na własnym rysunku pomocniczym) (11.2);</w:t>
            </w: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pole trapezu w sytuacjach praktycznych (11.2);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stosuje wzór na pole trapezu do obliczenia długości jednego boku lub wysokości (11.2); 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Zamiana jednostek pola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jednostki pola: m², cm², km², mm², dm², ar, hektar (bez zamiany jednostek w trakcie obliczeń) (11.3);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i prawidłowo stosuje jednostki długości: metr, centymetr, decymetr, milimetr, kilometr(12.6);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zamienia jednostki pola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3</w:t>
            </w:r>
          </w:p>
        </w:tc>
      </w:tr>
      <w:tr w:rsidR="00074732" w:rsidRPr="00074732" w:rsidTr="00074732">
        <w:trPr>
          <w:trHeight w:hRule="exact" w:val="1757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Dział 4. Ułamki dziesiętne. Działania na ułamkach dziesiętnych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Mnożenie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mnoży ułamki dziesiętne w pamięci (w najprostszych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mnoży ułamki dziesiętne za pomocą kalkulatora (w trudniejszych 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mnoży ułamki dziesiętne pisemnie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kwadraty i sześciany ułamków dziesiętnych (5.6);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mnoży ułamki dziesiętne w pamięci (w prostych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Dzielenie liczb dziesiętnych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w pamięci (w najprostszych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za pomocą kalkulatora (w trudniejszych </w:t>
            </w:r>
            <w:r w:rsidRPr="00074732">
              <w:rPr>
                <w:rFonts w:asciiTheme="minorHAnsi" w:hAnsiTheme="minorHAnsi"/>
              </w:rPr>
              <w:lastRenderedPageBreak/>
              <w:t>przykładach) (5.2);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dzieli ułamki dziesiętne pisemnie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dzieli ułamki dziesiętne w pamięci (w prostych przykładach) (5.2);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Wyrażenia arytmetyczne i zadania tekstowe II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wartości prostych wyrażeń arytmetycznych, stosując reguły dotyczące kolejności wykonywania działań (5.7);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do rozwiązywania zadań osadzonych w kontekście praktycznym stosuje poznaną wiedzę z zakresu arytmetyki i geometrii oraz nabyte umiejętności rachunkowe, a także własne poprawne metody (14.5);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wartości wyrażeń arytmetycznych o skomplikowanej budowie, stosując reguły dotyczące kolejności wykonywania działań (5.7);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Liczby dziesiętne a liczby mieszane. Zaokrąglanie liczb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zapisuje ułamek dziesiętny skończony w postaci ułamka zwykłego (4.8);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przedstawia ułamki </w:t>
            </w:r>
            <w:r w:rsidRPr="00074732">
              <w:rPr>
                <w:rFonts w:asciiTheme="minorHAnsi" w:hAnsiTheme="minorHAnsi"/>
              </w:rPr>
              <w:lastRenderedPageBreak/>
              <w:t>zwykłe o mianownikach 10, 100, 1000 itd. w postaci ułamków dziesiętnych skończonych (4.9);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zaokrągla liczby naturalne (1.4);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 xml:space="preserve">zamienia ułamki zwykłe o mianownikach będących dzielnikami liczb 10, 100, 1000 itd. na ułamki dziesiętne </w:t>
            </w:r>
            <w:r w:rsidRPr="00074732">
              <w:rPr>
                <w:rFonts w:asciiTheme="minorHAnsi" w:hAnsiTheme="minorHAnsi"/>
              </w:rPr>
              <w:lastRenderedPageBreak/>
              <w:t>skończone dowolną metodą (przez rozszerzanie ułamków zwykłych, dzielenie licznika przez mianownik w pamięci, pisemnie lub za pomocą kalkulatora) (4.9);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  <w:spacing w:val="-1"/>
              </w:rPr>
            </w:pPr>
            <w:r w:rsidRPr="00074732">
              <w:rPr>
                <w:rFonts w:asciiTheme="minorHAnsi" w:hAnsiTheme="minorHAnsi"/>
                <w:spacing w:val="-1"/>
              </w:rPr>
              <w:t>zapisuje ułamki zwykłe o mianownikach innych niż wymienione w pkt 4.9 w postaci rozwinięcia dziesiętnego nieskończonego (z użyciem trzech kropek po ostatniej cyfrze), dzieląc licznik przez mianownik w pamięci, pisemnie lub za pomocą kalkulatora (4.10);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  <w:spacing w:val="-2"/>
                <w:w w:val="97"/>
              </w:rPr>
              <w:t>zaokrągla ułamki dziesiętne (4.11);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96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4</w:t>
            </w: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lastRenderedPageBreak/>
              <w:t>Dział 5. Figury geometryczne. Skala i plan. Bryły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Katy wierzchołkowe, katy przyległe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twierdzenie o sumie kątów trójkąta (9.3);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 wklęsły i pełny (R);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Konstrukcje geometryczne 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kąty wierzchołkowe i kąty przyległe (8.6);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mierzy kąty mniejsze od 180 stopni z dokładnością do 1 stopnia (8.2);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korzysta z własności kątów wierzchołkowych i przyległych (8.6);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rysuje kąt o mierze mniejszej niż 180 stopni (8.3);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kąty odpowiadające (R);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Plan, mapa, skala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oblicza rzeczywistą długość odcinka, gdy dana jest jego długość w skali (12.8);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 długość odcinka w skali, gdy dana jest jego rzeczywista długość (12.8);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  <w:spacing w:val="-1"/>
                <w:w w:val="98"/>
              </w:rPr>
              <w:t xml:space="preserve">do rozwiązywania zadań osadzonych w kontekście praktycznym stosuje poznaną wiedzę z zakresu arytmetyki </w:t>
            </w:r>
            <w:r w:rsidRPr="00074732">
              <w:rPr>
                <w:rFonts w:asciiTheme="minorHAnsi" w:hAnsiTheme="minorHAnsi"/>
                <w:spacing w:val="-1"/>
                <w:w w:val="98"/>
              </w:rPr>
              <w:lastRenderedPageBreak/>
              <w:t>i geometrii oraz nabyte umiejętności rachunkowe, a także własne poprawne metody (14.5);</w:t>
            </w:r>
          </w:p>
        </w:tc>
        <w:tc>
          <w:tcPr>
            <w:tcW w:w="234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lastRenderedPageBreak/>
              <w:t>wskazuje skalę, w której jeden odcinek jest obrazem drugiego (12.8);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22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własności odcinków przed stawionych w skali w sytuacjach typowych (R);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stosuje własności odcinków przed stawionych w skali w sytuacjach nietypowych (R);</w:t>
            </w:r>
          </w:p>
        </w:tc>
      </w:tr>
      <w:tr w:rsidR="00074732" w:rsidRPr="00074732" w:rsidTr="00074732">
        <w:trPr>
          <w:trHeight w:hRule="exact" w:val="1700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Prostopadłościan, sześcian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graniastosłupy proste w sytuacjach praktycznych i wskazuje te bryły wśród innych modeli brył (10.1);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wskazuje wśród graniastosłupów prostopadłościany i sześciany i uzasadnia swój wybór (10.2);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rozpoznaje siatki graniastosłupów prostych (10.3);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rysuje siatki prostopadłościanów (10.4);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rysuje siatki graniastosłupów (R);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074732" w:rsidRPr="00074732" w:rsidTr="00074732">
        <w:trPr>
          <w:trHeight w:hRule="exact" w:val="341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Powtórzenie 5</w:t>
            </w:r>
          </w:p>
        </w:tc>
      </w:tr>
      <w:tr w:rsidR="00074732" w:rsidRPr="00074732" w:rsidTr="00074732">
        <w:trPr>
          <w:trHeight w:hRule="exact" w:val="623"/>
          <w:jc w:val="center"/>
        </w:trPr>
        <w:tc>
          <w:tcPr>
            <w:tcW w:w="13550" w:type="dxa"/>
            <w:gridSpan w:val="10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  <w:shd w:val="solid" w:color="FFFFFF" w:fill="auto"/>
            <w:tcMar>
              <w:top w:w="57" w:type="dxa"/>
              <w:left w:w="71" w:type="dxa"/>
              <w:bottom w:w="57" w:type="dxa"/>
              <w:right w:w="71" w:type="dxa"/>
            </w:tcMar>
            <w:vAlign w:val="center"/>
          </w:tcPr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lastRenderedPageBreak/>
              <w:t>Dział 6. Obliczanie upływu czasu</w:t>
            </w:r>
          </w:p>
          <w:p w:rsidR="00074732" w:rsidRPr="00074732" w:rsidRDefault="00074732" w:rsidP="003A682B">
            <w:pPr>
              <w:pStyle w:val="tabelaglowkagranat"/>
              <w:rPr>
                <w:rFonts w:asciiTheme="minorHAnsi" w:hAnsiTheme="minorHAnsi"/>
                <w:sz w:val="20"/>
                <w:szCs w:val="20"/>
              </w:rPr>
            </w:pPr>
            <w:r w:rsidRPr="00074732"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074732" w:rsidRPr="00074732" w:rsidTr="00074732">
        <w:trPr>
          <w:trHeight w:val="60"/>
          <w:jc w:val="center"/>
        </w:trPr>
        <w:tc>
          <w:tcPr>
            <w:tcW w:w="2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Obliczanie upływu czasu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proste obliczenia zegarowe na godzinach, minutach i sekundach (12.3); </w:t>
            </w:r>
          </w:p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 xml:space="preserve">wykonuje proste obliczenia kalendarzowe na dniach, tygodniach, miesiącach, latach (12.4);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tabelatekstKROPY"/>
              <w:rPr>
                <w:rFonts w:asciiTheme="minorHAnsi" w:hAnsiTheme="minorHAnsi"/>
              </w:rPr>
            </w:pPr>
            <w:r w:rsidRPr="00074732">
              <w:rPr>
                <w:rFonts w:asciiTheme="minorHAnsi" w:hAnsiTheme="minorHAnsi"/>
              </w:rPr>
              <w:t>szacuje wyniki działań (2.12);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113" w:type="dxa"/>
              <w:right w:w="57" w:type="dxa"/>
            </w:tcMar>
          </w:tcPr>
          <w:p w:rsidR="00074732" w:rsidRPr="00074732" w:rsidRDefault="00074732" w:rsidP="003A682B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:rsidR="00074732" w:rsidRPr="00074732" w:rsidRDefault="00074732" w:rsidP="00074732">
      <w:pPr>
        <w:pStyle w:val="tabelatekst"/>
        <w:rPr>
          <w:rFonts w:asciiTheme="minorHAnsi" w:hAnsiTheme="minorHAnsi"/>
          <w:sz w:val="24"/>
          <w:szCs w:val="24"/>
          <w:lang w:val="en-US"/>
        </w:rPr>
      </w:pPr>
    </w:p>
    <w:p w:rsidR="00074732" w:rsidRPr="00074732" w:rsidRDefault="00074732" w:rsidP="00074732">
      <w:pPr>
        <w:rPr>
          <w:rFonts w:asciiTheme="minorHAnsi" w:hAnsiTheme="minorHAnsi"/>
        </w:rPr>
      </w:pPr>
    </w:p>
    <w:p w:rsidR="006B5810" w:rsidRPr="00074732" w:rsidRDefault="006B5810" w:rsidP="001E4CB0">
      <w:pPr>
        <w:ind w:left="142"/>
        <w:rPr>
          <w:rFonts w:asciiTheme="minorHAnsi" w:hAnsiTheme="minorHAnsi" w:cs="Arial"/>
          <w:color w:val="F09120"/>
        </w:rPr>
      </w:pPr>
    </w:p>
    <w:sectPr w:rsidR="006B5810" w:rsidRPr="0007473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828" w:rsidRDefault="00CA7828" w:rsidP="00285D6F">
      <w:r>
        <w:separator/>
      </w:r>
    </w:p>
  </w:endnote>
  <w:endnote w:type="continuationSeparator" w:id="0">
    <w:p w:rsidR="00CA7828" w:rsidRDefault="00CA7828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endaPl-Semibold">
    <w:altName w:val="AgendaPl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6F" w:rsidRDefault="008C5CBB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8C5CBB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914856">
      <w:rPr>
        <w:b/>
        <w:color w:val="003892"/>
      </w:rPr>
      <w:t xml:space="preserve"> </w:t>
    </w:r>
    <w:r w:rsidR="006B5810" w:rsidRPr="009E0F62">
      <w:rPr>
        <w:b/>
        <w:color w:val="003892"/>
      </w:rPr>
      <w:t>AUTORZY</w:t>
    </w:r>
    <w:r w:rsidR="00285D6F" w:rsidRPr="009E0F62">
      <w:rPr>
        <w:b/>
        <w:color w:val="003892"/>
      </w:rPr>
      <w:t>:</w:t>
    </w:r>
    <w:r w:rsidR="00285D6F" w:rsidRPr="00285D6F">
      <w:rPr>
        <w:color w:val="003892"/>
      </w:rPr>
      <w:t xml:space="preserve"> </w:t>
    </w:r>
    <w:r w:rsidR="00074732">
      <w:t>Barbara Dubiecka-Kruk, Piotr Piskorski</w:t>
    </w:r>
    <w:r w:rsidR="00EB52F4">
      <w:tab/>
      <w:t xml:space="preserve">                                                                                 1</w:t>
    </w:r>
  </w:p>
  <w:p w:rsidR="00285D6F" w:rsidRDefault="008C5CBB" w:rsidP="00285D6F">
    <w:pPr>
      <w:pStyle w:val="Stopka"/>
      <w:tabs>
        <w:tab w:val="clear" w:pos="9072"/>
        <w:tab w:val="right" w:pos="9639"/>
      </w:tabs>
      <w:ind w:left="-567" w:right="1"/>
    </w:pPr>
    <w:r w:rsidRPr="008C5CBB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1312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85D6F" w:rsidRPr="00285D6F" w:rsidRDefault="00285D6F" w:rsidP="00D22D55">
    <w:pPr>
      <w:pStyle w:val="Stopka"/>
      <w:tabs>
        <w:tab w:val="clear" w:pos="4536"/>
        <w:tab w:val="clear" w:pos="9072"/>
      </w:tabs>
      <w:ind w:left="-1417"/>
    </w:pPr>
    <w:r>
      <w:rPr>
        <w:noProof/>
        <w:lang w:eastAsia="pl-PL"/>
      </w:rPr>
      <w:drawing>
        <wp:inline distT="0" distB="0" distL="0" distR="0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  <w:t xml:space="preserve">    </w:t>
    </w:r>
    <w:r w:rsidR="00D22D55">
      <w:tab/>
    </w:r>
    <w:r w:rsidR="00D22D55">
      <w:tab/>
    </w:r>
    <w:r w:rsidR="00D22D55">
      <w:tab/>
    </w:r>
    <w:r w:rsidR="00D22D55">
      <w:tab/>
    </w:r>
    <w:r w:rsidR="003B19DC">
      <w:rPr>
        <w:noProof/>
        <w:lang w:eastAsia="pl-PL"/>
      </w:rPr>
      <w:drawing>
        <wp:inline distT="0" distB="0" distL="0" distR="0">
          <wp:extent cx="3376862" cy="529389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8449" r="6799" b="10776"/>
                  <a:stretch/>
                </pic:blipFill>
                <pic:spPr bwMode="auto">
                  <a:xfrm>
                    <a:off x="0" y="0"/>
                    <a:ext cx="3377131" cy="529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828" w:rsidRDefault="00CA7828" w:rsidP="00285D6F">
      <w:r>
        <w:separator/>
      </w:r>
    </w:p>
  </w:footnote>
  <w:footnote w:type="continuationSeparator" w:id="0">
    <w:p w:rsidR="00CA7828" w:rsidRDefault="00CA7828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44359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35B7E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074732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Matematyka z pomysłem</w:t>
    </w:r>
    <w:r w:rsidR="00435B7E">
      <w:t xml:space="preserve"> | Klasa</w:t>
    </w:r>
    <w:r>
      <w:t xml:space="preserve"> 5</w:t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435B7E">
      <w:tab/>
    </w:r>
    <w:r>
      <w:rPr>
        <w:i/>
      </w:rPr>
      <w:t>Szkoła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74732"/>
    <w:rsid w:val="001E4CB0"/>
    <w:rsid w:val="00245DA5"/>
    <w:rsid w:val="00285D6F"/>
    <w:rsid w:val="002F1910"/>
    <w:rsid w:val="00317434"/>
    <w:rsid w:val="003572A4"/>
    <w:rsid w:val="003B19DC"/>
    <w:rsid w:val="00435B7E"/>
    <w:rsid w:val="005D3E4B"/>
    <w:rsid w:val="00602ABB"/>
    <w:rsid w:val="00672759"/>
    <w:rsid w:val="006B5810"/>
    <w:rsid w:val="00702806"/>
    <w:rsid w:val="007B3CB5"/>
    <w:rsid w:val="008648E0"/>
    <w:rsid w:val="008C2636"/>
    <w:rsid w:val="008C5CBB"/>
    <w:rsid w:val="00914856"/>
    <w:rsid w:val="009C68E7"/>
    <w:rsid w:val="009E0F62"/>
    <w:rsid w:val="00A239DF"/>
    <w:rsid w:val="00A404D4"/>
    <w:rsid w:val="00A5798A"/>
    <w:rsid w:val="00AB49BA"/>
    <w:rsid w:val="00C908FA"/>
    <w:rsid w:val="00CA7828"/>
    <w:rsid w:val="00D22D55"/>
    <w:rsid w:val="00EB52F4"/>
    <w:rsid w:val="00EC12C2"/>
    <w:rsid w:val="00F2104C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0747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003TytulIIrzedu">
    <w:name w:val="003 Tytul II rzedu"/>
    <w:basedOn w:val="Normalny"/>
    <w:uiPriority w:val="99"/>
    <w:rsid w:val="00074732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680" w:after="113" w:line="320" w:lineRule="atLeast"/>
      <w:textAlignment w:val="center"/>
    </w:pPr>
    <w:rPr>
      <w:rFonts w:ascii="AgendaPl-Bold" w:hAnsi="AgendaPl-Bold" w:cs="AgendaPl-Bold"/>
      <w:b/>
      <w:bCs/>
      <w:color w:val="065199"/>
      <w:position w:val="8"/>
      <w:sz w:val="32"/>
      <w:szCs w:val="32"/>
      <w:lang w:val="pl-PL"/>
    </w:rPr>
  </w:style>
  <w:style w:type="paragraph" w:customStyle="1" w:styleId="tabelatekst">
    <w:name w:val="tabela tekst"/>
    <w:basedOn w:val="NoParagraphStyle"/>
    <w:uiPriority w:val="99"/>
    <w:rsid w:val="00074732"/>
    <w:pPr>
      <w:tabs>
        <w:tab w:val="left" w:pos="170"/>
      </w:tabs>
      <w:spacing w:line="250" w:lineRule="atLeast"/>
    </w:pPr>
    <w:rPr>
      <w:rFonts w:ascii="AgendaPl-RegularCondensed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uiPriority w:val="99"/>
    <w:rsid w:val="00074732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uiPriority w:val="99"/>
    <w:rsid w:val="00074732"/>
    <w:rPr>
      <w:color w:val="174590"/>
    </w:rPr>
  </w:style>
  <w:style w:type="paragraph" w:customStyle="1" w:styleId="tabelatekstKROPY">
    <w:name w:val="tabela tekst KROPY"/>
    <w:basedOn w:val="tabelatekst"/>
    <w:uiPriority w:val="99"/>
    <w:rsid w:val="00074732"/>
    <w:pPr>
      <w:ind w:left="142" w:hanging="142"/>
    </w:pPr>
  </w:style>
  <w:style w:type="paragraph" w:customStyle="1" w:styleId="001Tekstpodstawowy">
    <w:name w:val="001 Tekst podstawowy"/>
    <w:basedOn w:val="NoParagraphStyle"/>
    <w:uiPriority w:val="99"/>
    <w:rsid w:val="000747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  <w:lang w:val="pl-PL"/>
    </w:rPr>
  </w:style>
  <w:style w:type="paragraph" w:customStyle="1" w:styleId="002TytulIrzedu">
    <w:name w:val="002 Tytul I rzedu"/>
    <w:basedOn w:val="001Tekstpodstawowy"/>
    <w:uiPriority w:val="99"/>
    <w:rsid w:val="00074732"/>
    <w:pPr>
      <w:suppressAutoHyphens/>
      <w:spacing w:before="57" w:after="170" w:line="480" w:lineRule="atLeast"/>
      <w:jc w:val="left"/>
    </w:pPr>
    <w:rPr>
      <w:rFonts w:ascii="AgendaPl-Semibold" w:hAnsi="AgendaPl-Semibold" w:cs="AgendaPl-Semibold"/>
      <w:color w:val="DB9319"/>
      <w:position w:val="-10"/>
      <w:sz w:val="48"/>
      <w:szCs w:val="48"/>
    </w:rPr>
  </w:style>
  <w:style w:type="paragraph" w:customStyle="1" w:styleId="001Tekstpunktykropki">
    <w:name w:val="001_Tekst_punkty_kropki"/>
    <w:basedOn w:val="001Tekstpodstawowy"/>
    <w:uiPriority w:val="99"/>
    <w:rsid w:val="00074732"/>
    <w:pPr>
      <w:tabs>
        <w:tab w:val="clear" w:pos="340"/>
        <w:tab w:val="clear" w:pos="510"/>
      </w:tabs>
      <w:ind w:left="170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73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747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/>
    </w:rPr>
  </w:style>
  <w:style w:type="paragraph" w:customStyle="1" w:styleId="003TytulIIrzedu">
    <w:name w:val="003 Tytul II rzedu"/>
    <w:basedOn w:val="Normalny"/>
    <w:uiPriority w:val="99"/>
    <w:rsid w:val="00074732"/>
    <w:pPr>
      <w:widowControl w:val="0"/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before="680" w:after="113" w:line="320" w:lineRule="atLeast"/>
      <w:textAlignment w:val="center"/>
    </w:pPr>
    <w:rPr>
      <w:rFonts w:ascii="AgendaPl-Bold" w:hAnsi="AgendaPl-Bold" w:cs="AgendaPl-Bold"/>
      <w:b/>
      <w:bCs/>
      <w:color w:val="065199"/>
      <w:position w:val="8"/>
      <w:sz w:val="32"/>
      <w:szCs w:val="32"/>
      <w:lang w:val="pl-PL"/>
    </w:rPr>
  </w:style>
  <w:style w:type="paragraph" w:customStyle="1" w:styleId="tabelatekst">
    <w:name w:val="tabela tekst"/>
    <w:basedOn w:val="NoParagraphStyle"/>
    <w:uiPriority w:val="99"/>
    <w:rsid w:val="00074732"/>
    <w:pPr>
      <w:tabs>
        <w:tab w:val="left" w:pos="170"/>
      </w:tabs>
      <w:spacing w:line="250" w:lineRule="atLeast"/>
    </w:pPr>
    <w:rPr>
      <w:rFonts w:ascii="AgendaPl-RegularCondensed" w:hAnsi="AgendaPl-RegularCondensed" w:cs="AgendaPl-RegularCondensed"/>
      <w:sz w:val="20"/>
      <w:szCs w:val="20"/>
      <w:lang w:val="pl-PL"/>
    </w:rPr>
  </w:style>
  <w:style w:type="paragraph" w:customStyle="1" w:styleId="tabelaglowka">
    <w:name w:val="tabela glowka"/>
    <w:basedOn w:val="NoParagraphStyle"/>
    <w:uiPriority w:val="99"/>
    <w:rsid w:val="00074732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lang w:val="pl-PL"/>
    </w:rPr>
  </w:style>
  <w:style w:type="paragraph" w:customStyle="1" w:styleId="tabelaglowkagranat">
    <w:name w:val="tabela glowka granat"/>
    <w:basedOn w:val="tabelaglowka"/>
    <w:uiPriority w:val="99"/>
    <w:rsid w:val="00074732"/>
    <w:rPr>
      <w:color w:val="174590"/>
    </w:rPr>
  </w:style>
  <w:style w:type="paragraph" w:customStyle="1" w:styleId="tabelatekstKROPY">
    <w:name w:val="tabela tekst KROPY"/>
    <w:basedOn w:val="tabelatekst"/>
    <w:uiPriority w:val="99"/>
    <w:rsid w:val="00074732"/>
    <w:pPr>
      <w:ind w:left="142" w:hanging="142"/>
    </w:pPr>
  </w:style>
  <w:style w:type="paragraph" w:customStyle="1" w:styleId="001Tekstpodstawowy">
    <w:name w:val="001 Tekst podstawowy"/>
    <w:basedOn w:val="NoParagraphStyle"/>
    <w:uiPriority w:val="99"/>
    <w:rsid w:val="000747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  <w:lang w:val="pl-PL"/>
    </w:rPr>
  </w:style>
  <w:style w:type="paragraph" w:customStyle="1" w:styleId="002TytulIrzedu">
    <w:name w:val="002 Tytul I rzedu"/>
    <w:basedOn w:val="001Tekstpodstawowy"/>
    <w:uiPriority w:val="99"/>
    <w:rsid w:val="00074732"/>
    <w:pPr>
      <w:suppressAutoHyphens/>
      <w:spacing w:before="57" w:after="170" w:line="480" w:lineRule="atLeast"/>
      <w:jc w:val="left"/>
    </w:pPr>
    <w:rPr>
      <w:rFonts w:ascii="AgendaPl-Semibold" w:hAnsi="AgendaPl-Semibold" w:cs="AgendaPl-Semibold"/>
      <w:color w:val="DB9319"/>
      <w:position w:val="-10"/>
      <w:sz w:val="48"/>
      <w:szCs w:val="48"/>
    </w:rPr>
  </w:style>
  <w:style w:type="paragraph" w:customStyle="1" w:styleId="001Tekstpunktykropki">
    <w:name w:val="001_Tekst_punkty_kropki"/>
    <w:basedOn w:val="001Tekstpodstawowy"/>
    <w:uiPriority w:val="99"/>
    <w:rsid w:val="00074732"/>
    <w:pPr>
      <w:tabs>
        <w:tab w:val="clear" w:pos="340"/>
        <w:tab w:val="clear" w:pos="510"/>
      </w:tabs>
      <w:ind w:left="170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124D-67F9-4C8D-AE75-C07BFED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beatriss</cp:lastModifiedBy>
  <cp:revision>2</cp:revision>
  <dcterms:created xsi:type="dcterms:W3CDTF">2015-09-15T18:40:00Z</dcterms:created>
  <dcterms:modified xsi:type="dcterms:W3CDTF">2015-09-15T18:40:00Z</dcterms:modified>
</cp:coreProperties>
</file>